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61E1D" w14:textId="77777777" w:rsidR="00FD4D64" w:rsidRDefault="00FD4D64" w:rsidP="00FD4D64">
      <w:pPr>
        <w:pStyle w:val="NormalWeb"/>
        <w:shd w:val="clear" w:color="auto" w:fill="FFFFFF"/>
        <w:spacing w:before="0" w:beforeAutospacing="0" w:after="216" w:afterAutospacing="0" w:line="360" w:lineRule="atLeast"/>
        <w:rPr>
          <w:rFonts w:ascii="Arial" w:hAnsi="Arial" w:cs="Arial"/>
          <w:color w:val="555555"/>
          <w:sz w:val="26"/>
          <w:szCs w:val="26"/>
        </w:rPr>
      </w:pPr>
      <w:r>
        <w:t>A</w:t>
      </w:r>
      <w:r>
        <w:rPr>
          <w:rFonts w:ascii="Arial" w:hAnsi="Arial" w:cs="Arial"/>
          <w:color w:val="555555"/>
          <w:sz w:val="26"/>
          <w:szCs w:val="26"/>
        </w:rPr>
        <w:t>liment complet pour chiens</w:t>
      </w:r>
      <w:r>
        <w:rPr>
          <w:rFonts w:ascii="Arial" w:hAnsi="Arial" w:cs="Arial"/>
          <w:color w:val="555555"/>
          <w:sz w:val="26"/>
          <w:szCs w:val="26"/>
        </w:rPr>
        <w:br/>
        <w:t>Composition : Viandes et sous-produits animaux (viandes </w:t>
      </w:r>
      <w:r>
        <w:rPr>
          <w:rStyle w:val="Accentuation"/>
          <w:rFonts w:ascii="Arial" w:hAnsi="Arial" w:cs="Arial"/>
          <w:color w:val="555555"/>
          <w:sz w:val="26"/>
          <w:szCs w:val="26"/>
        </w:rPr>
        <w:t>de bœuf, de veau, de poulet, de dinde « entiers » par conséquent, les</w:t>
      </w:r>
      <w:r>
        <w:rPr>
          <w:rFonts w:ascii="Arial" w:hAnsi="Arial" w:cs="Arial"/>
          <w:color w:val="555555"/>
          <w:sz w:val="26"/>
          <w:szCs w:val="26"/>
        </w:rPr>
        <w:t> dérivés </w:t>
      </w:r>
      <w:r>
        <w:rPr>
          <w:rStyle w:val="Accentuation"/>
          <w:rFonts w:ascii="Arial" w:hAnsi="Arial" w:cs="Arial"/>
          <w:color w:val="555555"/>
          <w:sz w:val="26"/>
          <w:szCs w:val="26"/>
        </w:rPr>
        <w:t>correspondants: foie, cœur, tripes, ailes et cous de poulet et de dinde, poumons, etc.)</w:t>
      </w:r>
      <w:r>
        <w:rPr>
          <w:rFonts w:ascii="Arial" w:hAnsi="Arial" w:cs="Arial"/>
          <w:color w:val="555555"/>
          <w:sz w:val="26"/>
          <w:szCs w:val="26"/>
        </w:rPr>
        <w:t>, céréales (</w:t>
      </w:r>
      <w:r>
        <w:rPr>
          <w:rStyle w:val="Accentuation"/>
          <w:rFonts w:ascii="Arial" w:hAnsi="Arial" w:cs="Arial"/>
          <w:color w:val="555555"/>
          <w:sz w:val="26"/>
          <w:szCs w:val="26"/>
        </w:rPr>
        <w:t>riz, maïs, blé, insérés sous forme entière</w:t>
      </w:r>
      <w:r>
        <w:rPr>
          <w:rFonts w:ascii="Arial" w:hAnsi="Arial" w:cs="Arial"/>
          <w:color w:val="555555"/>
          <w:sz w:val="26"/>
          <w:szCs w:val="26"/>
        </w:rPr>
        <w:t>), huiles et graisses, sous-produits d'origine végétale (</w:t>
      </w:r>
      <w:r>
        <w:rPr>
          <w:rStyle w:val="Accentuation"/>
          <w:rFonts w:ascii="Arial" w:hAnsi="Arial" w:cs="Arial"/>
          <w:color w:val="555555"/>
          <w:sz w:val="26"/>
          <w:szCs w:val="26"/>
        </w:rPr>
        <w:t>c'est-à-dire </w:t>
      </w:r>
      <w:r>
        <w:rPr>
          <w:rFonts w:ascii="Arial" w:hAnsi="Arial" w:cs="Arial"/>
          <w:color w:val="555555"/>
          <w:sz w:val="26"/>
          <w:szCs w:val="26"/>
        </w:rPr>
        <w:t xml:space="preserve">: </w:t>
      </w:r>
      <w:proofErr w:type="spellStart"/>
      <w:r>
        <w:rPr>
          <w:rFonts w:ascii="Arial" w:hAnsi="Arial" w:cs="Arial"/>
          <w:color w:val="555555"/>
          <w:sz w:val="26"/>
          <w:szCs w:val="26"/>
        </w:rPr>
        <w:t>Fructo</w:t>
      </w:r>
      <w:proofErr w:type="spellEnd"/>
      <w:r>
        <w:rPr>
          <w:rFonts w:ascii="Arial" w:hAnsi="Arial" w:cs="Arial"/>
          <w:color w:val="555555"/>
          <w:sz w:val="26"/>
          <w:szCs w:val="26"/>
        </w:rPr>
        <w:t>-oligosaccharides, pulpe de betterave, luzerne cultivée - </w:t>
      </w:r>
      <w:proofErr w:type="spellStart"/>
      <w:r>
        <w:rPr>
          <w:rStyle w:val="Accentuation"/>
          <w:rFonts w:ascii="Arial" w:hAnsi="Arial" w:cs="Arial"/>
          <w:color w:val="555555"/>
          <w:sz w:val="26"/>
          <w:szCs w:val="26"/>
        </w:rPr>
        <w:t>medicago</w:t>
      </w:r>
      <w:proofErr w:type="spellEnd"/>
      <w:r>
        <w:rPr>
          <w:rStyle w:val="Accentuation"/>
          <w:rFonts w:ascii="Arial" w:hAnsi="Arial" w:cs="Arial"/>
          <w:color w:val="555555"/>
          <w:sz w:val="26"/>
          <w:szCs w:val="26"/>
        </w:rPr>
        <w:t xml:space="preserve"> sativa</w:t>
      </w:r>
      <w:r>
        <w:rPr>
          <w:rFonts w:ascii="Arial" w:hAnsi="Arial" w:cs="Arial"/>
          <w:color w:val="555555"/>
          <w:sz w:val="26"/>
          <w:szCs w:val="26"/>
        </w:rPr>
        <w:t>, romarin - </w:t>
      </w:r>
      <w:proofErr w:type="spellStart"/>
      <w:r>
        <w:rPr>
          <w:rStyle w:val="Accentuation"/>
          <w:rFonts w:ascii="Arial" w:hAnsi="Arial" w:cs="Arial"/>
          <w:color w:val="555555"/>
          <w:sz w:val="26"/>
          <w:szCs w:val="26"/>
        </w:rPr>
        <w:t>rosmarinus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orange amère - </w:t>
      </w:r>
      <w:r>
        <w:rPr>
          <w:rStyle w:val="Accentuation"/>
          <w:rFonts w:ascii="Arial" w:hAnsi="Arial" w:cs="Arial"/>
          <w:color w:val="555555"/>
          <w:sz w:val="26"/>
          <w:szCs w:val="26"/>
        </w:rPr>
        <w:t xml:space="preserve">citrus </w:t>
      </w:r>
      <w:proofErr w:type="spellStart"/>
      <w:r>
        <w:rPr>
          <w:rStyle w:val="Accentuation"/>
          <w:rFonts w:ascii="Arial" w:hAnsi="Arial" w:cs="Arial"/>
          <w:color w:val="555555"/>
          <w:sz w:val="26"/>
          <w:szCs w:val="26"/>
        </w:rPr>
        <w:t>aurantium</w:t>
      </w:r>
      <w:proofErr w:type="spellEnd"/>
      <w:r>
        <w:rPr>
          <w:rFonts w:ascii="Arial" w:hAnsi="Arial" w:cs="Arial"/>
          <w:color w:val="555555"/>
          <w:sz w:val="26"/>
          <w:szCs w:val="26"/>
        </w:rPr>
        <w:t>, anis étoilé - </w:t>
      </w:r>
      <w:r>
        <w:rPr>
          <w:rStyle w:val="Accentuation"/>
          <w:rFonts w:ascii="Arial" w:hAnsi="Arial" w:cs="Arial"/>
          <w:color w:val="555555"/>
          <w:sz w:val="26"/>
          <w:szCs w:val="26"/>
        </w:rPr>
        <w:t>illicium verum</w:t>
      </w:r>
      <w:r>
        <w:rPr>
          <w:rFonts w:ascii="Arial" w:hAnsi="Arial" w:cs="Arial"/>
          <w:color w:val="555555"/>
          <w:sz w:val="26"/>
          <w:szCs w:val="26"/>
        </w:rPr>
        <w:t>, quinquina – </w:t>
      </w:r>
      <w:proofErr w:type="spellStart"/>
      <w:r>
        <w:rPr>
          <w:rStyle w:val="Accentuation"/>
          <w:rFonts w:ascii="Arial" w:hAnsi="Arial" w:cs="Arial"/>
          <w:color w:val="555555"/>
          <w:sz w:val="26"/>
          <w:szCs w:val="26"/>
        </w:rPr>
        <w:t>cinchonaofficinalis</w:t>
      </w:r>
      <w:proofErr w:type="spellEnd"/>
      <w:r>
        <w:rPr>
          <w:rFonts w:ascii="Arial" w:hAnsi="Arial" w:cs="Arial"/>
          <w:color w:val="555555"/>
          <w:sz w:val="26"/>
          <w:szCs w:val="26"/>
        </w:rPr>
        <w:t>, hysope - </w:t>
      </w:r>
      <w:proofErr w:type="spellStart"/>
      <w:r>
        <w:rPr>
          <w:rStyle w:val="Accentuation"/>
          <w:rFonts w:ascii="Arial" w:hAnsi="Arial" w:cs="Arial"/>
          <w:color w:val="555555"/>
          <w:sz w:val="26"/>
          <w:szCs w:val="26"/>
        </w:rPr>
        <w:t>hyssopus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rhubarbe - </w:t>
      </w:r>
      <w:proofErr w:type="spellStart"/>
      <w:r>
        <w:rPr>
          <w:rStyle w:val="Accentuation"/>
          <w:rFonts w:ascii="Arial" w:hAnsi="Arial" w:cs="Arial"/>
          <w:color w:val="555555"/>
          <w:sz w:val="26"/>
          <w:szCs w:val="26"/>
        </w:rPr>
        <w:t>rheum</w:t>
      </w:r>
      <w:proofErr w:type="spellEnd"/>
      <w:r>
        <w:rPr>
          <w:rFonts w:ascii="Arial" w:hAnsi="Arial" w:cs="Arial"/>
          <w:color w:val="555555"/>
          <w:sz w:val="26"/>
          <w:szCs w:val="26"/>
        </w:rPr>
        <w:t>, zédoaire - </w:t>
      </w:r>
      <w:r>
        <w:rPr>
          <w:rStyle w:val="Accentuation"/>
          <w:rFonts w:ascii="Arial" w:hAnsi="Arial" w:cs="Arial"/>
          <w:color w:val="555555"/>
          <w:sz w:val="26"/>
          <w:szCs w:val="26"/>
        </w:rPr>
        <w:t>curcuma zédoaire</w:t>
      </w:r>
      <w:r>
        <w:rPr>
          <w:rFonts w:ascii="Arial" w:hAnsi="Arial" w:cs="Arial"/>
          <w:color w:val="555555"/>
          <w:sz w:val="26"/>
          <w:szCs w:val="26"/>
        </w:rPr>
        <w:t>), poissons et sous-produits de poissons (</w:t>
      </w:r>
      <w:r>
        <w:rPr>
          <w:rStyle w:val="Accentuation"/>
          <w:rFonts w:ascii="Arial" w:hAnsi="Arial" w:cs="Arial"/>
          <w:color w:val="555555"/>
          <w:sz w:val="26"/>
          <w:szCs w:val="26"/>
        </w:rPr>
        <w:t>poisson entier</w:t>
      </w:r>
      <w:r>
        <w:rPr>
          <w:rFonts w:ascii="Arial" w:hAnsi="Arial" w:cs="Arial"/>
          <w:color w:val="555555"/>
          <w:sz w:val="26"/>
          <w:szCs w:val="26"/>
        </w:rPr>
        <w:t xml:space="preserve">), levures, substances minérales. Additifs : additifs nutritionnels : Vitamine A 7.500 UI/kg, Vitamine D3 750 UI/kg, Vitamine E (tous rac alpha acétate de </w:t>
      </w:r>
      <w:proofErr w:type="spellStart"/>
      <w:r>
        <w:rPr>
          <w:rFonts w:ascii="Arial" w:hAnsi="Arial" w:cs="Arial"/>
          <w:color w:val="555555"/>
          <w:sz w:val="26"/>
          <w:szCs w:val="26"/>
        </w:rPr>
        <w:t>tocophéryle</w:t>
      </w:r>
      <w:proofErr w:type="spellEnd"/>
      <w:r>
        <w:rPr>
          <w:rFonts w:ascii="Arial" w:hAnsi="Arial" w:cs="Arial"/>
          <w:color w:val="555555"/>
          <w:sz w:val="26"/>
          <w:szCs w:val="26"/>
        </w:rPr>
        <w:t>) 75 mg/kg. Antioxygènes.</w:t>
      </w:r>
      <w:r>
        <w:rPr>
          <w:rFonts w:ascii="Arial" w:hAnsi="Arial" w:cs="Arial"/>
          <w:color w:val="555555"/>
          <w:sz w:val="26"/>
          <w:szCs w:val="26"/>
        </w:rPr>
        <w:br/>
        <w:t>Constituants analytiques</w:t>
      </w:r>
      <w:proofErr w:type="gramStart"/>
      <w:r>
        <w:rPr>
          <w:rFonts w:ascii="Arial" w:hAnsi="Arial" w:cs="Arial"/>
          <w:color w:val="555555"/>
          <w:sz w:val="26"/>
          <w:szCs w:val="26"/>
        </w:rPr>
        <w:t xml:space="preserve"> :Protéine</w:t>
      </w:r>
      <w:proofErr w:type="gramEnd"/>
      <w:r>
        <w:rPr>
          <w:rFonts w:ascii="Arial" w:hAnsi="Arial" w:cs="Arial"/>
          <w:color w:val="555555"/>
          <w:sz w:val="26"/>
          <w:szCs w:val="26"/>
        </w:rPr>
        <w:t xml:space="preserve"> 27,00%, Matières grasses brutes 14,00%, Matières minérales 8,50%, Cellulose brute 2,00%.</w:t>
      </w:r>
      <w:r>
        <w:rPr>
          <w:rFonts w:ascii="Arial" w:hAnsi="Arial" w:cs="Arial"/>
          <w:color w:val="555555"/>
          <w:sz w:val="26"/>
          <w:szCs w:val="26"/>
        </w:rPr>
        <w:br/>
        <w:t>Mode d'emploi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w:t>
      </w:r>
      <w:r>
        <w:rPr>
          <w:rFonts w:ascii="Arial" w:hAnsi="Arial" w:cs="Arial"/>
          <w:color w:val="555555"/>
          <w:sz w:val="26"/>
          <w:szCs w:val="26"/>
        </w:rPr>
        <w:br/>
        <w:t>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w:t>
      </w:r>
      <w:r>
        <w:rPr>
          <w:rFonts w:ascii="Arial" w:hAnsi="Arial" w:cs="Arial"/>
          <w:color w:val="555555"/>
          <w:sz w:val="26"/>
          <w:szCs w:val="26"/>
        </w:rPr>
        <w:br/>
        <w:t>Laissez toujours de l'eau fraîche à disposition.</w:t>
      </w:r>
      <w:r>
        <w:rPr>
          <w:rFonts w:ascii="Arial" w:hAnsi="Arial" w:cs="Arial"/>
          <w:color w:val="555555"/>
          <w:sz w:val="26"/>
          <w:szCs w:val="26"/>
        </w:rPr>
        <w:br/>
        <w:t>A conserver à l'abri de l'humidité. </w:t>
      </w:r>
      <w:r>
        <w:rPr>
          <w:rFonts w:ascii="Arial" w:hAnsi="Arial" w:cs="Arial"/>
          <w:color w:val="555555"/>
          <w:sz w:val="26"/>
          <w:szCs w:val="26"/>
        </w:rPr>
        <w:br/>
        <w:t>Refermer l’emballage après utilisation. </w:t>
      </w:r>
      <w:r>
        <w:rPr>
          <w:rFonts w:ascii="Arial" w:hAnsi="Arial" w:cs="Arial"/>
          <w:color w:val="555555"/>
          <w:sz w:val="26"/>
          <w:szCs w:val="26"/>
        </w:rPr>
        <w:br/>
        <w:t>A utiliser de préférence avant le/numéro de lot : voir la date indiquée sur l'emballage. </w:t>
      </w:r>
      <w:r>
        <w:rPr>
          <w:rFonts w:ascii="Arial" w:hAnsi="Arial" w:cs="Arial"/>
          <w:color w:val="555555"/>
          <w:sz w:val="26"/>
          <w:szCs w:val="26"/>
        </w:rPr>
        <w:br/>
        <w:t>Fabriqué 1 an avant la date de durabilité minimale indiquée.</w:t>
      </w:r>
    </w:p>
    <w:p w14:paraId="491E1886" w14:textId="77777777" w:rsidR="00FD4D64" w:rsidRDefault="00FD4D64" w:rsidP="00FD4D64">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Ration journalière indicative</w:t>
      </w:r>
    </w:p>
    <w:p w14:paraId="718E4364" w14:textId="18A2E466" w:rsidR="00973A64" w:rsidRDefault="00FD4D64">
      <w:r>
        <w:rPr>
          <w:noProof/>
        </w:rPr>
        <w:lastRenderedPageBreak/>
        <w:drawing>
          <wp:inline distT="0" distB="0" distL="0" distR="0" wp14:anchorId="648755E1" wp14:editId="490D2720">
            <wp:extent cx="5760720" cy="49301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FICHE TECHNIQUE.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930140"/>
                    </a:xfrm>
                    <a:prstGeom prst="rect">
                      <a:avLst/>
                    </a:prstGeom>
                  </pic:spPr>
                </pic:pic>
              </a:graphicData>
            </a:graphic>
          </wp:inline>
        </w:drawing>
      </w:r>
    </w:p>
    <w:p w14:paraId="7F3A0D7C" w14:textId="77777777" w:rsidR="00FD4D64" w:rsidRDefault="00FD4D64" w:rsidP="00FD4D64">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Chiens en surpoids : - 15%</w:t>
      </w:r>
      <w:r>
        <w:rPr>
          <w:rFonts w:ascii="Arial" w:hAnsi="Arial" w:cs="Arial"/>
          <w:color w:val="555555"/>
          <w:sz w:val="26"/>
          <w:szCs w:val="26"/>
        </w:rPr>
        <w:br/>
        <w:t>Chiens en sous - poids : + 15%</w:t>
      </w:r>
      <w:r>
        <w:rPr>
          <w:rFonts w:ascii="Arial" w:hAnsi="Arial" w:cs="Arial"/>
          <w:color w:val="555555"/>
          <w:sz w:val="26"/>
          <w:szCs w:val="26"/>
        </w:rPr>
        <w:br/>
        <w:t>(</w:t>
      </w:r>
      <w:r>
        <w:rPr>
          <w:rStyle w:val="Accentuation"/>
          <w:rFonts w:ascii="Arial" w:hAnsi="Arial" w:cs="Arial"/>
          <w:color w:val="555555"/>
          <w:sz w:val="26"/>
          <w:szCs w:val="26"/>
        </w:rPr>
        <w:t>Le temps pour atteindre le poids de forme dépend du métabolisme et de l'activité du sujet</w:t>
      </w:r>
      <w:r>
        <w:rPr>
          <w:rFonts w:ascii="Arial" w:hAnsi="Arial" w:cs="Arial"/>
          <w:color w:val="555555"/>
          <w:sz w:val="26"/>
          <w:szCs w:val="26"/>
        </w:rPr>
        <w:t>).</w:t>
      </w:r>
      <w:r>
        <w:rPr>
          <w:rFonts w:ascii="Arial" w:hAnsi="Arial" w:cs="Arial"/>
          <w:color w:val="555555"/>
          <w:sz w:val="26"/>
          <w:szCs w:val="26"/>
        </w:rPr>
        <w:br/>
        <w:t>Chien qui fait beaucoup d'exercices ou qui vit à l'extérieur durant l’hiver : + 30 /40 %</w:t>
      </w:r>
      <w:r>
        <w:rPr>
          <w:rFonts w:ascii="Arial" w:hAnsi="Arial" w:cs="Arial"/>
          <w:color w:val="555555"/>
          <w:sz w:val="26"/>
          <w:szCs w:val="26"/>
        </w:rPr>
        <w:br/>
        <w:t>Chiens Agées : - 20%</w:t>
      </w:r>
      <w:r>
        <w:rPr>
          <w:rFonts w:ascii="Arial" w:hAnsi="Arial" w:cs="Arial"/>
          <w:color w:val="555555"/>
          <w:sz w:val="26"/>
          <w:szCs w:val="26"/>
        </w:rPr>
        <w:br/>
        <w:t>Gestation : + 10/20%</w:t>
      </w:r>
    </w:p>
    <w:p w14:paraId="71243D3D" w14:textId="77777777" w:rsidR="00FD4D64" w:rsidRDefault="00FD4D64" w:rsidP="00FD4D64">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Allaitement : ad libitum</w:t>
      </w:r>
    </w:p>
    <w:p w14:paraId="3C20D481" w14:textId="77777777" w:rsidR="00FD4D64" w:rsidRDefault="00FD4D64">
      <w:bookmarkStart w:id="0" w:name="_GoBack"/>
      <w:bookmarkEnd w:id="0"/>
    </w:p>
    <w:sectPr w:rsidR="00FD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41"/>
    <w:rsid w:val="00973A64"/>
    <w:rsid w:val="00BB4841"/>
    <w:rsid w:val="00FD4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84E6"/>
  <w15:chartTrackingRefBased/>
  <w15:docId w15:val="{F5DF2856-1937-4BDD-92A0-3AF91324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4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4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1959">
      <w:bodyDiv w:val="1"/>
      <w:marLeft w:val="0"/>
      <w:marRight w:val="0"/>
      <w:marTop w:val="0"/>
      <w:marBottom w:val="0"/>
      <w:divBdr>
        <w:top w:val="none" w:sz="0" w:space="0" w:color="auto"/>
        <w:left w:val="none" w:sz="0" w:space="0" w:color="auto"/>
        <w:bottom w:val="none" w:sz="0" w:space="0" w:color="auto"/>
        <w:right w:val="none" w:sz="0" w:space="0" w:color="auto"/>
      </w:divBdr>
    </w:div>
    <w:div w:id="3459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2023-01-18T20:32:00Z</dcterms:created>
  <dcterms:modified xsi:type="dcterms:W3CDTF">2023-01-18T20:32:00Z</dcterms:modified>
</cp:coreProperties>
</file>